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24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单台</w:t>
      </w:r>
      <w:r>
        <w:rPr>
          <w:rFonts w:hint="eastAsia" w:ascii="___WRD_EMBED_SUB_38" w:hAnsi="___WRD_EMBED_SUB_38" w:eastAsia="___WRD_EMBED_SUB_38" w:cs="___WRD_EMBED_SUB_38"/>
          <w:b/>
          <w:sz w:val="36"/>
          <w:szCs w:val="36"/>
        </w:rPr>
        <w:t>（</w:t>
      </w:r>
      <w:r>
        <w:rPr>
          <w:rFonts w:hint="eastAsia" w:ascii="宋体" w:hAnsi="宋体" w:eastAsia="宋体" w:cs="宋体"/>
          <w:b/>
          <w:sz w:val="36"/>
          <w:szCs w:val="36"/>
        </w:rPr>
        <w:t>套</w:t>
      </w:r>
      <w:r>
        <w:rPr>
          <w:rFonts w:hint="eastAsia" w:ascii="___WRD_EMBED_SUB_38" w:hAnsi="___WRD_EMBED_SUB_38" w:eastAsia="___WRD_EMBED_SUB_38" w:cs="___WRD_EMBED_SUB_38"/>
          <w:b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sz w:val="36"/>
          <w:szCs w:val="36"/>
        </w:rPr>
        <w:t>大型仪器</w:t>
      </w:r>
      <w:r>
        <w:rPr>
          <w:rFonts w:hint="eastAsia" w:ascii="___WRD_EMBED_SUB_38" w:hAnsi="___WRD_EMBED_SUB_38" w:eastAsia="___WRD_EMBED_SUB_38" w:cs="___WRD_EMBED_SUB_38"/>
          <w:b/>
          <w:sz w:val="36"/>
          <w:szCs w:val="36"/>
        </w:rPr>
        <w:t>设备</w:t>
      </w:r>
      <w:r>
        <w:rPr>
          <w:rFonts w:hint="eastAsia" w:ascii="___WRD_EMBED_SUB_38" w:hAnsi="___WRD_EMBED_SUB_38" w:eastAsia="___WRD_EMBED_SUB_38" w:cs="___WRD_EMBED_SUB_38"/>
          <w:b/>
          <w:sz w:val="36"/>
          <w:szCs w:val="36"/>
          <w:lang w:val="en-US" w:eastAsia="zh-CN"/>
        </w:rPr>
        <w:t>开放共享</w:t>
      </w:r>
      <w:r>
        <w:rPr>
          <w:rFonts w:hint="eastAsia" w:ascii="宋体" w:hAnsi="宋体" w:eastAsia="宋体" w:cs="宋体"/>
          <w:b/>
          <w:sz w:val="36"/>
          <w:szCs w:val="36"/>
        </w:rPr>
        <w:t>绩效考</w:t>
      </w:r>
      <w:r>
        <w:rPr>
          <w:rFonts w:hint="eastAsia" w:ascii="___WRD_EMBED_SUB_38" w:hAnsi="___WRD_EMBED_SUB_38" w:eastAsia="___WRD_EMBED_SUB_38" w:cs="___WRD_EMBED_SUB_38"/>
          <w:b/>
          <w:sz w:val="36"/>
          <w:szCs w:val="36"/>
        </w:rPr>
        <w:t>核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spacing w:line="240" w:lineRule="auto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     ）年</w:t>
      </w:r>
      <w:r>
        <w:rPr>
          <w:rFonts w:hint="eastAsia" w:ascii="宋体" w:hAnsi="宋体" w:eastAsia="宋体" w:cs="宋体"/>
          <w:b/>
          <w:sz w:val="28"/>
          <w:szCs w:val="28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" w:leftChars="-156" w:hanging="324" w:hangingChars="135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仪器设备名称：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资产编号：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67" w:leftChars="-270" w:firstLine="240" w:firstLineChars="100"/>
        <w:textAlignment w:val="auto"/>
        <w:rPr>
          <w:rFonts w:ascii="仿宋_GB2312" w:eastAsia="仿宋_GB2312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仪器</w:t>
      </w:r>
      <w:r>
        <w:rPr>
          <w:rFonts w:hint="eastAsia" w:ascii="宋体" w:hAnsi="宋体" w:eastAsia="宋体" w:cs="宋体"/>
          <w:sz w:val="24"/>
        </w:rPr>
        <w:t>所</w:t>
      </w:r>
      <w:r>
        <w:rPr>
          <w:rFonts w:hint="eastAsia" w:asciiTheme="majorEastAsia" w:hAnsiTheme="majorEastAsia" w:eastAsiaTheme="majorEastAsia" w:cstheme="majorEastAsia"/>
          <w:sz w:val="24"/>
        </w:rPr>
        <w:t>在实验室：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开放机组人员</w:t>
      </w:r>
      <w:r>
        <w:rPr>
          <w:rFonts w:hint="eastAsia" w:asciiTheme="majorEastAsia" w:hAnsiTheme="majorEastAsia" w:eastAsiaTheme="majorEastAsia" w:cstheme="majorEastAsia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67" w:leftChars="-270" w:firstLine="240" w:firstLineChars="100"/>
        <w:textAlignment w:val="auto"/>
        <w:rPr>
          <w:rFonts w:ascii="仿宋_GB2312" w:eastAsia="仿宋_GB2312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电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话</w:t>
      </w:r>
      <w:r>
        <w:rPr>
          <w:rFonts w:hint="eastAsia" w:ascii="___WRD_EMBED_SUB_38" w:hAnsi="___WRD_EMBED_SUB_38" w:eastAsia="___WRD_EMBED_SUB_38" w:cs="___WRD_EMBED_SUB_38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</w:t>
      </w:r>
      <w:r>
        <w:rPr>
          <w:rFonts w:hint="eastAsia" w:ascii="仿宋_GB2312" w:eastAsia="仿宋_GB2312"/>
          <w:sz w:val="24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系主任</w:t>
      </w:r>
      <w:r>
        <w:rPr>
          <w:rFonts w:hint="eastAsia" w:ascii="___WRD_EMBED_SUB_38" w:hAnsi="___WRD_EMBED_SUB_38" w:eastAsia="___WRD_EMBED_SUB_38" w:cs="___WRD_EMBED_SUB_38"/>
          <w:sz w:val="24"/>
        </w:rPr>
        <w:t>（</w:t>
      </w:r>
      <w:r>
        <w:rPr>
          <w:rFonts w:hint="eastAsia" w:ascii="宋体" w:hAnsi="宋体" w:eastAsia="宋体" w:cs="宋体"/>
          <w:sz w:val="24"/>
        </w:rPr>
        <w:t>签字</w:t>
      </w:r>
      <w:r>
        <w:rPr>
          <w:rFonts w:hint="eastAsia" w:ascii="___WRD_EMBED_SUB_38" w:hAnsi="___WRD_EMBED_SUB_38" w:eastAsia="___WRD_EMBED_SUB_38" w:cs="___WRD_EMBED_SUB_38"/>
          <w:sz w:val="24"/>
        </w:rPr>
        <w:t>）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</w:p>
    <w:tbl>
      <w:tblPr>
        <w:tblStyle w:val="3"/>
        <w:tblW w:w="93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775"/>
        <w:gridCol w:w="4157"/>
        <w:gridCol w:w="705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Align w:val="center"/>
          </w:tcPr>
          <w:p>
            <w:pPr>
              <w:pStyle w:val="2"/>
              <w:spacing w:line="276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一级指标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76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二级指标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评分标准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jc w:val="center"/>
              <w:rPr>
                <w:rFonts w:hint="default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lang w:val="en-US" w:eastAsia="zh-CN"/>
              </w:rPr>
              <w:t>自评</w:t>
            </w:r>
          </w:p>
        </w:tc>
        <w:tc>
          <w:tcPr>
            <w:tcW w:w="647" w:type="dxa"/>
            <w:vAlign w:val="center"/>
          </w:tcPr>
          <w:p>
            <w:pPr>
              <w:pStyle w:val="2"/>
              <w:jc w:val="center"/>
              <w:rPr>
                <w:rFonts w:hint="default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  <w:lang w:val="en-US" w:eastAsia="zh-CN"/>
              </w:rPr>
              <w:t>院评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日常管理（</w:t>
            </w:r>
            <w:r>
              <w:rPr>
                <w:rFonts w:hint="eastAsia" w:hAnsi="宋体"/>
                <w:szCs w:val="21"/>
                <w:lang w:val="en-US" w:eastAsia="zh-CN"/>
              </w:rPr>
              <w:t>30</w:t>
            </w:r>
            <w:r>
              <w:rPr>
                <w:rFonts w:hint="eastAsia" w:hAnsi="宋体"/>
                <w:szCs w:val="21"/>
              </w:rPr>
              <w:t>分）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操作规程（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有详细的操作规程且上墙得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分；有详细的操作规程，没上墙得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hAnsi="宋体"/>
                <w:sz w:val="18"/>
                <w:szCs w:val="18"/>
              </w:rPr>
              <w:t>分；没有操作规程得0分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使用记录（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有完整详细的使用记录得</w:t>
            </w:r>
            <w:r>
              <w:rPr>
                <w:rFonts w:hint="default" w:hAnsi="宋体"/>
                <w:sz w:val="18"/>
                <w:szCs w:val="18"/>
              </w:rPr>
              <w:t>10</w:t>
            </w:r>
            <w:r>
              <w:rPr>
                <w:rFonts w:hint="eastAsia" w:hAnsi="宋体"/>
                <w:sz w:val="18"/>
                <w:szCs w:val="18"/>
              </w:rPr>
              <w:t>分；使用记录不全或者记录不真实得</w:t>
            </w:r>
            <w:r>
              <w:rPr>
                <w:rFonts w:hint="default" w:hAnsi="宋体"/>
                <w:sz w:val="18"/>
                <w:szCs w:val="18"/>
              </w:rPr>
              <w:t>5</w:t>
            </w:r>
            <w:r>
              <w:rPr>
                <w:rFonts w:hint="eastAsia" w:hAnsi="宋体"/>
                <w:sz w:val="18"/>
                <w:szCs w:val="18"/>
              </w:rPr>
              <w:t>分；无使用记录得0分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维修保养（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有维修记录且定期保养维护得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分；维修记录不全，保养不及时或维护不到位得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hAnsi="宋体"/>
                <w:sz w:val="18"/>
                <w:szCs w:val="18"/>
              </w:rPr>
              <w:t>分；没有保养或维护差得0分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档案资料（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仪器使用说明书、保养手册、保修卡等技术资料齐全得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分；资料不齐全得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hAnsi="宋体"/>
                <w:sz w:val="18"/>
                <w:szCs w:val="18"/>
              </w:rPr>
              <w:t>分；没有资料得0分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平台管理（8分）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大仪平台信息维护完善得</w:t>
            </w:r>
            <w:r>
              <w:rPr>
                <w:rFonts w:hint="default" w:hAnsi="宋体"/>
                <w:sz w:val="18"/>
                <w:szCs w:val="18"/>
                <w:lang w:eastAsia="zh-CN"/>
              </w:rPr>
              <w:t>8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分；不完善得</w:t>
            </w:r>
            <w:r>
              <w:rPr>
                <w:rFonts w:hint="default" w:hAnsi="宋体"/>
                <w:sz w:val="18"/>
                <w:szCs w:val="18"/>
                <w:lang w:eastAsia="zh-CN"/>
              </w:rPr>
              <w:t>4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分；没有维护得0分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无故不开机通报情况（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分）</w:t>
            </w:r>
          </w:p>
        </w:tc>
        <w:tc>
          <w:tcPr>
            <w:tcW w:w="41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无通报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得3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通报扣1分/次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71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机时利用（</w:t>
            </w:r>
            <w:r>
              <w:rPr>
                <w:rFonts w:hint="eastAsia" w:hAnsi="宋体"/>
                <w:szCs w:val="21"/>
                <w:lang w:val="en-US" w:eastAsia="zh-CN"/>
              </w:rPr>
              <w:t>30</w:t>
            </w:r>
            <w:r>
              <w:rPr>
                <w:rFonts w:hint="eastAsia" w:hAnsi="宋体"/>
                <w:szCs w:val="21"/>
              </w:rPr>
              <w:t>分）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</w:rPr>
              <w:t>机时利用率：有效运行机时/定额机时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≥100%（</w:t>
            </w:r>
            <w:r>
              <w:rPr>
                <w:rFonts w:hint="default"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hAnsi="宋体"/>
                <w:sz w:val="18"/>
                <w:szCs w:val="18"/>
              </w:rPr>
              <w:t>分）；</w:t>
            </w:r>
          </w:p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其它（机时利用率*</w:t>
            </w:r>
            <w:r>
              <w:rPr>
                <w:rFonts w:hint="default"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hAnsi="宋体"/>
                <w:sz w:val="18"/>
                <w:szCs w:val="18"/>
              </w:rPr>
              <w:t>分）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开放共享（</w:t>
            </w:r>
            <w:r>
              <w:rPr>
                <w:rFonts w:hint="eastAsia" w:hAnsi="宋体"/>
                <w:szCs w:val="21"/>
                <w:lang w:val="en-US" w:eastAsia="zh-CN"/>
              </w:rPr>
              <w:t>20</w:t>
            </w:r>
            <w:r>
              <w:rPr>
                <w:rFonts w:hint="eastAsia" w:hAnsi="宋体"/>
                <w:szCs w:val="21"/>
              </w:rPr>
              <w:t>分）</w:t>
            </w:r>
          </w:p>
        </w:tc>
        <w:tc>
          <w:tcPr>
            <w:tcW w:w="27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共享率：服务校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外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单位运行机时/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学校平均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有效运行机时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%（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分）；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其它（共享率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/20%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*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7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收入达成率：服务校内外收益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学校平均收益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≥100%（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分）；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其它（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达成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率*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hAnsi="宋体"/>
                <w:szCs w:val="21"/>
                <w:lang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校外收入达成率：服务校外收益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学校平均收益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%（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分）；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其它（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达成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/50%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*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分）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1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服务成效（20分）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典型案例：服务人才培养、科技创新和社会服务等1项典型案例综合评价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5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</w:rPr>
              <w:t>优秀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得20分</w:t>
            </w:r>
            <w:r>
              <w:rPr>
                <w:rFonts w:hint="eastAsia" w:hAnsi="宋体"/>
                <w:sz w:val="18"/>
                <w:szCs w:val="18"/>
              </w:rPr>
              <w:t>；良好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得15分</w:t>
            </w:r>
            <w:r>
              <w:rPr>
                <w:rFonts w:hint="eastAsia" w:hAnsi="宋体"/>
                <w:sz w:val="18"/>
                <w:szCs w:val="18"/>
              </w:rPr>
              <w:t>；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一般得10</w:t>
            </w:r>
            <w:r>
              <w:rPr>
                <w:rFonts w:hint="eastAsia" w:hAnsi="宋体"/>
                <w:sz w:val="18"/>
                <w:szCs w:val="18"/>
              </w:rPr>
              <w:t>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没有得0分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Ansi="宋体"/>
                <w:szCs w:val="21"/>
              </w:rPr>
            </w:pPr>
          </w:p>
        </w:tc>
      </w:tr>
    </w:tbl>
    <w:p>
      <w:pPr>
        <w:spacing w:line="240" w:lineRule="auto"/>
        <w:ind w:left="-718" w:leftChars="-342"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备注： </w:t>
      </w:r>
    </w:p>
    <w:p>
      <w:pPr>
        <w:numPr>
          <w:ilvl w:val="0"/>
          <w:numId w:val="0"/>
        </w:numPr>
        <w:spacing w:line="240" w:lineRule="auto"/>
        <w:ind w:leftChars="-42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1.有效运行机时：省、校大仪平台设备年度核定机时（以10万元为界线）；</w:t>
      </w:r>
    </w:p>
    <w:p>
      <w:pPr>
        <w:numPr>
          <w:ilvl w:val="0"/>
          <w:numId w:val="0"/>
        </w:numPr>
        <w:spacing w:line="240" w:lineRule="auto"/>
        <w:ind w:leftChars="-42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2.定额机时：省、校大仪平台考核上一年度核定平均机时（以10万元为界线）；</w:t>
      </w:r>
    </w:p>
    <w:p>
      <w:pPr>
        <w:numPr>
          <w:ilvl w:val="0"/>
          <w:numId w:val="0"/>
        </w:numPr>
        <w:spacing w:line="240" w:lineRule="auto"/>
        <w:ind w:leftChars="-42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 w:val="21"/>
          <w:szCs w:val="21"/>
        </w:rPr>
        <w:t>服务校</w:t>
      </w:r>
      <w:r>
        <w:rPr>
          <w:rFonts w:hint="eastAsia" w:ascii="宋体" w:hAnsi="宋体"/>
          <w:sz w:val="21"/>
          <w:szCs w:val="21"/>
          <w:lang w:eastAsia="zh-CN"/>
        </w:rPr>
        <w:t>内</w:t>
      </w:r>
      <w:r>
        <w:rPr>
          <w:rFonts w:hint="eastAsia" w:ascii="宋体" w:hAnsi="宋体"/>
          <w:sz w:val="21"/>
          <w:szCs w:val="21"/>
          <w:lang w:val="en-US" w:eastAsia="zh-CN"/>
        </w:rPr>
        <w:t>外</w:t>
      </w:r>
      <w:r>
        <w:rPr>
          <w:rFonts w:hint="eastAsia" w:ascii="宋体" w:hAnsi="宋体"/>
          <w:sz w:val="21"/>
          <w:szCs w:val="21"/>
        </w:rPr>
        <w:t>单位运行机时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  <w:lang w:val="en-US" w:eastAsia="zh-CN"/>
        </w:rPr>
        <w:t>学校年度大仪平台设备对校内外服务机时；</w:t>
      </w:r>
    </w:p>
    <w:p>
      <w:pPr>
        <w:numPr>
          <w:ilvl w:val="0"/>
          <w:numId w:val="0"/>
        </w:numPr>
        <w:spacing w:line="240" w:lineRule="auto"/>
        <w:ind w:leftChars="-42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 w:val="21"/>
          <w:szCs w:val="21"/>
          <w:lang w:val="en-US" w:eastAsia="zh-CN"/>
        </w:rPr>
        <w:t>学校平均有效运行机时：学校年度有效运行机时总和与设备数的比值；</w:t>
      </w:r>
    </w:p>
    <w:p>
      <w:pPr>
        <w:numPr>
          <w:ilvl w:val="0"/>
          <w:numId w:val="0"/>
        </w:numPr>
        <w:spacing w:line="240" w:lineRule="auto"/>
        <w:ind w:leftChars="-42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5.学校平均收益：学校年度收入总量与设备数的比值；</w:t>
      </w:r>
    </w:p>
    <w:p>
      <w:pPr>
        <w:numPr>
          <w:ilvl w:val="0"/>
          <w:numId w:val="0"/>
        </w:numPr>
        <w:spacing w:line="240" w:lineRule="auto"/>
        <w:ind w:leftChars="-42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6.评价标准分为四档：优秀：总分≥90 分为优秀，75分≤总分＜90分为良好，60分≤总分＜75分为合格，总分＜60分为不合格。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__WRD_EMBED_SUB_38">
    <w:altName w:val="宋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TU0OGUyMTMyYzNjMjgwMzJmZWUyMjU1MDI0N2MifQ=="/>
  </w:docVars>
  <w:rsids>
    <w:rsidRoot w:val="00000000"/>
    <w:rsid w:val="478500A5"/>
    <w:rsid w:val="581E6D64"/>
    <w:rsid w:val="703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2024-08-14T07:44:00Z</dcterms:created>
  <dc:creator>Administrator</dc:creator>
  <cp:lastModifiedBy>Administrator</cp:lastModifiedBy>
  <dcterms:modified xsi:type="dcterms:W3CDTF">2025-12-16T08:35:47Z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03976F55E2624BCEBB6AAC80D1A757E3_12</vt:lpwstr>
  </property>
</Properties>
</file>